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DD" w:rsidRPr="004E5E6D" w:rsidRDefault="000744CF" w:rsidP="00823E40">
      <w:pPr>
        <w:pStyle w:val="a3"/>
        <w:jc w:val="righ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2965" cy="8178860"/>
            <wp:effectExtent l="19050" t="0" r="635" b="0"/>
            <wp:docPr id="1" name="Рисунок 1" descr="C:\Documents and Settings\10comp10\Local Settings\Temporary Internet Files\Content.Word\Положение об отчислении и т.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0comp10\Local Settings\Temporary Internet Files\Content.Word\Положение об отчислении и т.д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17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91F" w:rsidRPr="00CA6BDD" w:rsidRDefault="0069391F" w:rsidP="004E5E6D">
      <w:pPr>
        <w:pStyle w:val="a3"/>
        <w:spacing w:before="1"/>
        <w:jc w:val="both"/>
        <w:rPr>
          <w:rFonts w:ascii="Times New Roman" w:hAnsi="Times New Roman"/>
          <w:sz w:val="24"/>
          <w:lang w:val="ru-RU"/>
        </w:rPr>
      </w:pPr>
    </w:p>
    <w:p w:rsidR="000744CF" w:rsidRDefault="000744CF" w:rsidP="00F43B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44CF" w:rsidRDefault="000744CF" w:rsidP="00F43B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44CF" w:rsidRDefault="000744CF" w:rsidP="00F43B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391F" w:rsidRPr="000744CF" w:rsidRDefault="006F66C5" w:rsidP="00F43B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1. </w:t>
      </w:r>
      <w:r w:rsidR="00063EC7" w:rsidRPr="000744CF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A346D8" w:rsidRPr="000744CF" w:rsidRDefault="00A346D8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Положение разработано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соответствии </w:t>
      </w:r>
      <w:proofErr w:type="gramStart"/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</w:p>
    <w:p w:rsidR="00A346D8" w:rsidRPr="000744CF" w:rsidRDefault="00063EC7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>Федеральным</w:t>
      </w:r>
      <w:r w:rsidR="00CD1293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>законом</w:t>
      </w:r>
      <w:r w:rsidR="00CD1293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от 29.12.2012 № </w:t>
      </w:r>
      <w:r w:rsidR="00CD1293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273-ФЗ 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>«Об</w:t>
      </w:r>
      <w:r w:rsidR="00CD1293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>образовании</w:t>
      </w:r>
      <w:r w:rsidR="00CD1293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>в Российской Федерации»;</w:t>
      </w:r>
    </w:p>
    <w:p w:rsidR="0069391F" w:rsidRPr="000744CF" w:rsidRDefault="00063EC7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>постановлением Правительства Российской Федерации от 3 ноября 1994 г. №1206 «Об утверждении порядка назначения и выплаты ежемесячных компенсационных выплат отдельным категориям граждан»;</w:t>
      </w:r>
    </w:p>
    <w:p w:rsidR="0069391F" w:rsidRPr="000744CF" w:rsidRDefault="00063EC7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>постановлением Правительства РФ от 21 мая 2012 г. № 494 «О внесении изменений в Порядок назначения и выплаты ежемесячных компенсационных выплат отдельным категориям граждан»;</w:t>
      </w:r>
    </w:p>
    <w:p w:rsidR="0069391F" w:rsidRPr="000744CF" w:rsidRDefault="00063EC7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приказом </w:t>
      </w:r>
      <w:proofErr w:type="spellStart"/>
      <w:r w:rsidRPr="000744CF"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 w:rsidR="00A346D8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>России от 13.06.2013 № 455 «Об утверждении</w:t>
      </w:r>
      <w:r w:rsidR="00A346D8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>Порядка и</w:t>
      </w:r>
      <w:r w:rsidR="00A346D8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применения к обучающимся и снятия с обучающихся мер дисциплинарного взыскания»; приказом </w:t>
      </w:r>
      <w:proofErr w:type="spellStart"/>
      <w:r w:rsidRPr="000744CF"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России от 10.02.2017 № 124 «Об утверждении Порядка перевода</w:t>
      </w:r>
      <w:r w:rsidR="006F66C5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>обучающихся в другую организацию, осуществляющую</w:t>
      </w:r>
      <w:r w:rsidR="006F66C5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>образовательную</w:t>
      </w:r>
      <w:r w:rsidR="006F66C5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>деятельность по образовательным программам среднего профессионального и (или) высшего образования»;</w:t>
      </w:r>
      <w:r w:rsidR="006F66C5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>иными подзаконными актами;</w:t>
      </w:r>
      <w:proofErr w:type="gramEnd"/>
    </w:p>
    <w:p w:rsidR="006F66C5" w:rsidRPr="000744CF" w:rsidRDefault="00063EC7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>Уставом Г</w:t>
      </w:r>
      <w:r w:rsidR="004E5E6D" w:rsidRPr="000744CF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ПОУ СО </w:t>
      </w:r>
      <w:r w:rsidR="004E5E6D" w:rsidRPr="000744CF">
        <w:rPr>
          <w:rFonts w:ascii="Times New Roman" w:hAnsi="Times New Roman" w:cs="Times New Roman"/>
          <w:sz w:val="28"/>
          <w:szCs w:val="28"/>
          <w:lang w:val="ru-RU"/>
        </w:rPr>
        <w:t>"</w:t>
      </w:r>
      <w:proofErr w:type="spellStart"/>
      <w:r w:rsidR="004E5E6D" w:rsidRPr="000744CF">
        <w:rPr>
          <w:rFonts w:ascii="Times New Roman" w:hAnsi="Times New Roman" w:cs="Times New Roman"/>
          <w:sz w:val="28"/>
          <w:szCs w:val="28"/>
          <w:lang w:val="ru-RU"/>
        </w:rPr>
        <w:t>Серовский</w:t>
      </w:r>
      <w:proofErr w:type="spellEnd"/>
      <w:r w:rsidR="004E5E6D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металлургический техникум"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744CF">
        <w:rPr>
          <w:rFonts w:ascii="Times New Roman" w:hAnsi="Times New Roman" w:cs="Times New Roman"/>
          <w:sz w:val="28"/>
          <w:szCs w:val="28"/>
          <w:lang w:val="ru-RU"/>
        </w:rPr>
        <w:t>далее</w:t>
      </w:r>
      <w:r w:rsidR="006F66C5" w:rsidRPr="000744C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E5E6D" w:rsidRPr="000744CF">
        <w:rPr>
          <w:rFonts w:ascii="Times New Roman" w:hAnsi="Times New Roman" w:cs="Times New Roman"/>
          <w:sz w:val="28"/>
          <w:szCs w:val="28"/>
          <w:lang w:val="ru-RU"/>
        </w:rPr>
        <w:t>Техникум</w:t>
      </w:r>
      <w:proofErr w:type="spellEnd"/>
      <w:r w:rsidR="004E5E6D" w:rsidRPr="000744C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F66C5" w:rsidRPr="000744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F66C5" w:rsidRPr="000744CF" w:rsidRDefault="006F66C5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определяет порядок оформления возникновения, приостановления и прекращения отношений между </w:t>
      </w:r>
      <w:r w:rsidR="004B052B" w:rsidRPr="000744CF">
        <w:rPr>
          <w:rFonts w:ascii="Times New Roman" w:hAnsi="Times New Roman" w:cs="Times New Roman"/>
          <w:sz w:val="28"/>
          <w:szCs w:val="28"/>
          <w:lang w:val="ru-RU"/>
        </w:rPr>
        <w:t>Техникумом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и обучающимися (студентами), и (или) родителями (законными представителями) несовершеннолетних обучающихся </w:t>
      </w:r>
      <w:r w:rsidR="004B052B" w:rsidRPr="000744CF"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и порядок, основания зачисления, предоставления академического отпуска, перевода, отчисления и восстановления обучающихся.</w:t>
      </w:r>
    </w:p>
    <w:p w:rsidR="00023B4B" w:rsidRPr="000744CF" w:rsidRDefault="006F66C5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Положение разработано в целях обеспечения конституционных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прав граждан на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образование,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гарантии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общедоступности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среднего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профессионального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образования.</w:t>
      </w:r>
    </w:p>
    <w:p w:rsidR="00023B4B" w:rsidRDefault="00023B4B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44CF" w:rsidRPr="000744CF" w:rsidRDefault="000744CF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391F" w:rsidRPr="000744CF" w:rsidRDefault="006F66C5" w:rsidP="00F43B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2. </w:t>
      </w:r>
      <w:r w:rsidR="00063EC7" w:rsidRPr="000744CF">
        <w:rPr>
          <w:rFonts w:ascii="Times New Roman" w:hAnsi="Times New Roman" w:cs="Times New Roman"/>
          <w:b/>
          <w:sz w:val="28"/>
          <w:szCs w:val="28"/>
          <w:lang w:val="ru-RU"/>
        </w:rPr>
        <w:t>Возникновение отношений, их оформление</w:t>
      </w:r>
    </w:p>
    <w:p w:rsidR="00F43B9B" w:rsidRDefault="006F66C5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3B9B"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r w:rsidR="00063EC7" w:rsidRPr="00F43B9B">
        <w:rPr>
          <w:rFonts w:ascii="Times New Roman" w:hAnsi="Times New Roman" w:cs="Times New Roman"/>
          <w:sz w:val="28"/>
          <w:szCs w:val="28"/>
          <w:lang w:val="ru-RU"/>
        </w:rPr>
        <w:t xml:space="preserve">Отношения между </w:t>
      </w:r>
      <w:r w:rsidR="004B052B" w:rsidRPr="00F43B9B">
        <w:rPr>
          <w:rFonts w:ascii="Times New Roman" w:hAnsi="Times New Roman" w:cs="Times New Roman"/>
          <w:sz w:val="28"/>
          <w:szCs w:val="28"/>
          <w:lang w:val="ru-RU"/>
        </w:rPr>
        <w:t>Техникумом</w:t>
      </w:r>
      <w:r w:rsidR="00063EC7" w:rsidRPr="00F43B9B">
        <w:rPr>
          <w:rFonts w:ascii="Times New Roman" w:hAnsi="Times New Roman" w:cs="Times New Roman"/>
          <w:sz w:val="28"/>
          <w:szCs w:val="28"/>
          <w:lang w:val="ru-RU"/>
        </w:rPr>
        <w:t xml:space="preserve"> и студентом возникают на основании заключенного договора</w:t>
      </w:r>
      <w:r w:rsidR="00F43B9B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1)</w:t>
      </w:r>
      <w:r w:rsidR="00050C79" w:rsidRPr="00F43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F43B9B">
        <w:rPr>
          <w:rFonts w:ascii="Times New Roman" w:hAnsi="Times New Roman" w:cs="Times New Roman"/>
          <w:sz w:val="28"/>
          <w:szCs w:val="28"/>
          <w:lang w:val="ru-RU"/>
        </w:rPr>
        <w:t>о подготовке</w:t>
      </w:r>
      <w:r w:rsidR="00050C79" w:rsidRPr="00F43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F43B9B">
        <w:rPr>
          <w:rFonts w:ascii="Times New Roman" w:hAnsi="Times New Roman" w:cs="Times New Roman"/>
          <w:sz w:val="28"/>
          <w:szCs w:val="28"/>
          <w:lang w:val="ru-RU"/>
        </w:rPr>
        <w:t>специалиста</w:t>
      </w:r>
      <w:r w:rsidR="00050C79" w:rsidRPr="00F43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F43B9B">
        <w:rPr>
          <w:rFonts w:ascii="Times New Roman" w:hAnsi="Times New Roman" w:cs="Times New Roman"/>
          <w:sz w:val="28"/>
          <w:szCs w:val="28"/>
          <w:lang w:val="ru-RU"/>
        </w:rPr>
        <w:t>среднего</w:t>
      </w:r>
      <w:r w:rsidR="00050C79" w:rsidRPr="00F43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F43B9B">
        <w:rPr>
          <w:rFonts w:ascii="Times New Roman" w:hAnsi="Times New Roman" w:cs="Times New Roman"/>
          <w:sz w:val="28"/>
          <w:szCs w:val="28"/>
          <w:lang w:val="ru-RU"/>
        </w:rPr>
        <w:t>звена и приказа директора</w:t>
      </w:r>
      <w:r w:rsidR="00050C79" w:rsidRPr="00F43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052B" w:rsidRPr="00F43B9B"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050C79" w:rsidRPr="00F43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F43B9B">
        <w:rPr>
          <w:rFonts w:ascii="Times New Roman" w:hAnsi="Times New Roman" w:cs="Times New Roman"/>
          <w:sz w:val="28"/>
          <w:szCs w:val="28"/>
          <w:lang w:val="ru-RU"/>
        </w:rPr>
        <w:t xml:space="preserve">о зачислении гражданина в состав студентов. </w:t>
      </w:r>
    </w:p>
    <w:p w:rsidR="0069391F" w:rsidRPr="000744CF" w:rsidRDefault="00063EC7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3B9B">
        <w:rPr>
          <w:rFonts w:ascii="Times New Roman" w:hAnsi="Times New Roman" w:cs="Times New Roman"/>
          <w:sz w:val="28"/>
          <w:szCs w:val="28"/>
          <w:lang w:val="ru-RU"/>
        </w:rPr>
        <w:t xml:space="preserve">Зачисление происходит на основании результатов приема. 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>Для проведения приема создается приемная комиссия.</w:t>
      </w:r>
    </w:p>
    <w:p w:rsidR="0069391F" w:rsidRPr="000744CF" w:rsidRDefault="00050C79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Объем и структура приема в </w:t>
      </w:r>
      <w:r w:rsidR="004B052B" w:rsidRPr="000744CF">
        <w:rPr>
          <w:rFonts w:ascii="Times New Roman" w:hAnsi="Times New Roman" w:cs="Times New Roman"/>
          <w:sz w:val="28"/>
          <w:szCs w:val="28"/>
          <w:lang w:val="ru-RU"/>
        </w:rPr>
        <w:t>Техникум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за счет средств областного бюджета определяются государственными заданиями, устанавливаемыми ежегодно Учредителем.</w:t>
      </w:r>
    </w:p>
    <w:p w:rsidR="0069391F" w:rsidRPr="000744CF" w:rsidRDefault="00050C79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2.3.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По завершению работы приемной комиссии при наличии вакантных мест в академических группах первого года обучения процедуру зачисления осуществляет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заведующий отделение</w:t>
      </w:r>
      <w:r w:rsidR="00653BA2" w:rsidRPr="000744C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391F" w:rsidRPr="000744CF" w:rsidRDefault="00050C79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2.4.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При наличии вакантных мест в академических группах второго и последующих лет обучения зачисление производится переводом из других учебных заведений профессионального образования. Процедуру зачисления осуществляет заведующий отделен</w:t>
      </w:r>
      <w:r w:rsidR="00653BA2" w:rsidRPr="000744CF">
        <w:rPr>
          <w:rFonts w:ascii="Times New Roman" w:hAnsi="Times New Roman" w:cs="Times New Roman"/>
          <w:sz w:val="28"/>
          <w:szCs w:val="28"/>
          <w:lang w:val="ru-RU"/>
        </w:rPr>
        <w:t>ием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, зачисление оформляется приказом директора </w:t>
      </w:r>
      <w:r w:rsidR="004B052B" w:rsidRPr="000744CF"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с формулировкой: «Зачислить переводом из другого учебного заведения» с указанием конкретной образовательной организации, где студент проходил обучение до перевода в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Техникум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391F" w:rsidRPr="000744CF" w:rsidRDefault="00050C79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2.5.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Граждане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вправе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на бюджетной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основе получить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среднее профессиональное образование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в пределах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федерального государственного образовательного стандарта, если образование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данного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уровня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гражданин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получает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впервые.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получения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среднего профессионального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образования принимаются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лица, имеющие основное общее, среднее (полное)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общее,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начальное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профессиональное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образование,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среднее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профессиональное образование или высшее профессиональное образование.</w:t>
      </w:r>
    </w:p>
    <w:p w:rsidR="0069391F" w:rsidRPr="000744CF" w:rsidRDefault="00050C79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2.6.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Поступающий в </w:t>
      </w:r>
      <w:r w:rsidR="004B052B" w:rsidRPr="000744CF">
        <w:rPr>
          <w:rFonts w:ascii="Times New Roman" w:hAnsi="Times New Roman" w:cs="Times New Roman"/>
          <w:sz w:val="28"/>
          <w:szCs w:val="28"/>
          <w:lang w:val="ru-RU"/>
        </w:rPr>
        <w:t>Техникум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для получения среднего профессионального образования,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предоставляет личное заявление, документ, удостоверяющий его личность (оригинал или заверенную копию), документ государственного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образца об уровне образования (оригинал или заверенную копию). Лица, проходившие военную службу по призыву и уволенные с военной службы, представляют при поступлении военный билет.</w:t>
      </w:r>
    </w:p>
    <w:p w:rsidR="0069391F" w:rsidRPr="000744CF" w:rsidRDefault="00050C79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2.7.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Лица с ограниченными возможностями здоровья при подаче заявления представляют по своему усмотрению оригинал или ксерокопию следующих документов: заключение </w:t>
      </w:r>
      <w:proofErr w:type="spellStart"/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психолого-медико-педагогической</w:t>
      </w:r>
      <w:proofErr w:type="spellEnd"/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комиссии; справки об установлении инвалидности, выданной федеральным учреждением медико-социальной экспертизы.</w:t>
      </w:r>
    </w:p>
    <w:p w:rsidR="0069391F" w:rsidRPr="000744CF" w:rsidRDefault="00023B4B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2.8. </w:t>
      </w:r>
      <w:proofErr w:type="gramStart"/>
      <w:r w:rsidR="004B052B" w:rsidRPr="000744CF">
        <w:rPr>
          <w:rFonts w:ascii="Times New Roman" w:hAnsi="Times New Roman" w:cs="Times New Roman"/>
          <w:sz w:val="28"/>
          <w:szCs w:val="28"/>
          <w:lang w:val="ru-RU"/>
        </w:rPr>
        <w:t>Техникум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сверх финансируемых за счет средств областного бюджета установленных государственных заданий прием студентов для получения среднего профессионального образования с полным возмещением затрат на обучение, а также подготовку и переподготовку работников квалифицированного труда (рабочих и служащих) и специалистов соответствующего уровня образования по договорам с физическими 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(или)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юридическими лицами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оплатой ими стоимости обучения.</w:t>
      </w:r>
      <w:proofErr w:type="gramEnd"/>
    </w:p>
    <w:p w:rsidR="0069391F" w:rsidRPr="000744CF" w:rsidRDefault="00023B4B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2.9.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Зачисление в число </w:t>
      </w:r>
      <w:proofErr w:type="gramStart"/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производится после представления подлинника документа об образовании. После зачисления на каждого обучающегося формируется личное дело, которое хранится в отделе кадров </w:t>
      </w:r>
      <w:r w:rsidR="004B052B" w:rsidRPr="000744CF"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23B4B" w:rsidRPr="000744CF" w:rsidRDefault="00023B4B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2.10.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При приеме в </w:t>
      </w:r>
      <w:r w:rsidR="004B052B" w:rsidRPr="000744CF">
        <w:rPr>
          <w:rFonts w:ascii="Times New Roman" w:hAnsi="Times New Roman" w:cs="Times New Roman"/>
          <w:sz w:val="28"/>
          <w:szCs w:val="28"/>
          <w:lang w:val="ru-RU"/>
        </w:rPr>
        <w:t>Техникум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приемная комиссия (заведующий отделением) знакомит родителей (законных представителей) и обучающихся с уставом, лицензией, свидетельством о государственной аккредитации, основными образовательными программами, реализуемыми в </w:t>
      </w:r>
      <w:r w:rsidR="004B052B" w:rsidRPr="000744CF">
        <w:rPr>
          <w:rFonts w:ascii="Times New Roman" w:hAnsi="Times New Roman" w:cs="Times New Roman"/>
          <w:sz w:val="28"/>
          <w:szCs w:val="28"/>
          <w:lang w:val="ru-RU"/>
        </w:rPr>
        <w:t>Техникуме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, и другими документами, регламентирующими организацию образовательного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процесса.</w:t>
      </w:r>
    </w:p>
    <w:p w:rsidR="00023B4B" w:rsidRPr="000744CF" w:rsidRDefault="00023B4B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391F" w:rsidRPr="000744CF" w:rsidRDefault="00063EC7" w:rsidP="00F43B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="00023B4B" w:rsidRPr="000744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744CF">
        <w:rPr>
          <w:rFonts w:ascii="Times New Roman" w:hAnsi="Times New Roman" w:cs="Times New Roman"/>
          <w:b/>
          <w:sz w:val="28"/>
          <w:szCs w:val="28"/>
          <w:lang w:val="ru-RU"/>
        </w:rPr>
        <w:t>Порядок</w:t>
      </w:r>
      <w:r w:rsidR="00023B4B" w:rsidRPr="000744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</w:t>
      </w:r>
      <w:r w:rsidRPr="000744CF">
        <w:rPr>
          <w:rFonts w:ascii="Times New Roman" w:hAnsi="Times New Roman" w:cs="Times New Roman"/>
          <w:b/>
          <w:sz w:val="28"/>
          <w:szCs w:val="28"/>
          <w:lang w:val="ru-RU"/>
        </w:rPr>
        <w:t>основания</w:t>
      </w:r>
      <w:r w:rsidR="00023B4B" w:rsidRPr="000744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744CF">
        <w:rPr>
          <w:rFonts w:ascii="Times New Roman" w:hAnsi="Times New Roman" w:cs="Times New Roman"/>
          <w:b/>
          <w:sz w:val="28"/>
          <w:szCs w:val="28"/>
          <w:lang w:val="ru-RU"/>
        </w:rPr>
        <w:t>приостановления</w:t>
      </w:r>
      <w:r w:rsidR="00023B4B" w:rsidRPr="000744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744CF">
        <w:rPr>
          <w:rFonts w:ascii="Times New Roman" w:hAnsi="Times New Roman" w:cs="Times New Roman"/>
          <w:b/>
          <w:sz w:val="28"/>
          <w:szCs w:val="28"/>
          <w:lang w:val="ru-RU"/>
        </w:rPr>
        <w:t>отношений</w:t>
      </w:r>
      <w:r w:rsidR="00023B4B" w:rsidRPr="000744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744CF">
        <w:rPr>
          <w:rFonts w:ascii="Times New Roman" w:hAnsi="Times New Roman" w:cs="Times New Roman"/>
          <w:b/>
          <w:sz w:val="28"/>
          <w:szCs w:val="28"/>
          <w:lang w:val="ru-RU"/>
        </w:rPr>
        <w:t>(предоставление</w:t>
      </w:r>
      <w:r w:rsidR="00023B4B" w:rsidRPr="000744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744CF">
        <w:rPr>
          <w:rFonts w:ascii="Times New Roman" w:hAnsi="Times New Roman" w:cs="Times New Roman"/>
          <w:b/>
          <w:sz w:val="28"/>
          <w:szCs w:val="28"/>
          <w:lang w:val="ru-RU"/>
        </w:rPr>
        <w:t>академического отпуска)</w:t>
      </w:r>
    </w:p>
    <w:p w:rsidR="0069391F" w:rsidRPr="000744CF" w:rsidRDefault="00023B4B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Отношения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между </w:t>
      </w:r>
      <w:r w:rsidR="004B052B" w:rsidRPr="000744CF">
        <w:rPr>
          <w:rFonts w:ascii="Times New Roman" w:hAnsi="Times New Roman" w:cs="Times New Roman"/>
          <w:sz w:val="28"/>
          <w:szCs w:val="28"/>
          <w:lang w:val="ru-RU"/>
        </w:rPr>
        <w:t>Техникумом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и обучающимся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приостанавливаются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предоставления студенту академического отпуска.</w:t>
      </w:r>
    </w:p>
    <w:p w:rsidR="0069391F" w:rsidRPr="000744CF" w:rsidRDefault="00023B4B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3.2.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Академический отпуск предоставляется студенту любой формы обучения </w:t>
      </w:r>
      <w:r w:rsidR="004B052B" w:rsidRPr="000744C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связи с невозможностью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освоения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среднего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профессионального образования (далее - образовательная программа) по медицинским показаниям, семейным и иным обстоятельствам на период времени, не превышающий двух лет. Академический отпуск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может предоставляться неограниченное количество раз.</w:t>
      </w:r>
    </w:p>
    <w:p w:rsidR="00023B4B" w:rsidRPr="00F43B9B" w:rsidRDefault="00023B4B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3.3. </w:t>
      </w:r>
      <w:proofErr w:type="gramStart"/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Основаниями предоставления академического отпуска являются письменное заявление студента (заявление несовершеннолетнего студента подписывается и его родителем/иным законным представителем), а также заключение врачебной комиссии медицинской организации (для предоставления академического отпуска по медицинским показаниям), 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службу), особые семейные обстоятельства: временная необходимость</w:t>
      </w:r>
      <w:proofErr w:type="gramEnd"/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работы полный рабочий день, сложные семейные отношения, замужество или женитьба, состояние здоровья членов семьи, нуждающихся во временном уходе и пр. (обстоятельства поясняются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в заявлении на академический отпуск).</w:t>
      </w:r>
    </w:p>
    <w:p w:rsidR="0069391F" w:rsidRPr="000744CF" w:rsidRDefault="00023B4B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3.4.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Решение о предоставлении академического отпуска принимается заведующим отделением в десятидневный срок со дня получения от обучающегося заявления и прилагаемых к нему документов (при наличии) и оформляется приказом директора </w:t>
      </w:r>
      <w:r w:rsidR="004B052B" w:rsidRPr="000744CF"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391F" w:rsidRPr="000744CF" w:rsidRDefault="00023B4B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3.5.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Обучающийся в период нахождения его в академическом отпуске освобождается от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обязанностей, связанных с освоением им образовательной программы в организации, и не допускается к образовательному процессу до завершения академического отпуска, однако статуса студента не утрачивает. В случае, если студент учится по договору об образовании с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полным возмещением затрат за счет средств физического или юридического лица, то во время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академического отпуска плата за обучение не взимается.</w:t>
      </w:r>
    </w:p>
    <w:p w:rsidR="0069391F" w:rsidRPr="000744CF" w:rsidRDefault="00023B4B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3.6.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Студентам, находящимся в академическом отпуске по медицинским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показаниям, назначаются и выплачиваются ежемесячные компенсационные выплаты в размере 57,50 рублей (с учетом уральского коэффициента) в соответствии © постановлением Правительства Российской Федерации от 3 ноября 1994 г. № 1206 «Об утверждении порядка назначения и выплаты ежемесячных компенсационных выплат отдельным категориям граждан». Заявление о назначении ежемесячных компенсационных выплат подается на имя директора </w:t>
      </w:r>
      <w:r w:rsidR="004B052B" w:rsidRPr="000744CF"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. К заявлению прилагается копия приказа о предоставлении академического отпуска по медицинским показаниям. Ежемесячные компенсационные выплаты назначаются со дня предоставления академического отпуска по медицинским показаниям и осуществляются за счет средств, направляемых на выплату стипендий</w:t>
      </w:r>
      <w:r w:rsidR="00522900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обучающимся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391F" w:rsidRPr="000744CF" w:rsidRDefault="00522900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>3.7.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Ежемесячная компенсационная выплата осуществляется за текущий</w:t>
      </w:r>
      <w:r w:rsidR="004B052B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месяц в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сроки, установленные для выплаты стипендий обучающимся. Выплата производится со дня предоставления академического отпуска по медицинским показаниям по день его окончания.</w:t>
      </w:r>
    </w:p>
    <w:p w:rsidR="00522900" w:rsidRPr="000744CF" w:rsidRDefault="00522900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3.8.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Отношения между </w:t>
      </w:r>
      <w:r w:rsidR="004B052B" w:rsidRPr="000744CF">
        <w:rPr>
          <w:rFonts w:ascii="Times New Roman" w:hAnsi="Times New Roman" w:cs="Times New Roman"/>
          <w:sz w:val="28"/>
          <w:szCs w:val="28"/>
          <w:lang w:val="ru-RU"/>
        </w:rPr>
        <w:t>Техникумом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и обучающимся возобновляются по письменному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заявлению обучающегося, в котором он просит считать его вышедшим из академического отпуска. Выход студента из академического отпуска и определение конкретной академической группы, где он/она продолжит обучение, оформляется приказом директора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052B" w:rsidRPr="000744CF"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2900" w:rsidRPr="000744CF" w:rsidRDefault="00522900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391F" w:rsidRPr="000744CF" w:rsidRDefault="00522900" w:rsidP="00F43B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 w:rsidR="00063EC7" w:rsidRPr="000744CF">
        <w:rPr>
          <w:rFonts w:ascii="Times New Roman" w:hAnsi="Times New Roman" w:cs="Times New Roman"/>
          <w:b/>
          <w:sz w:val="28"/>
          <w:szCs w:val="28"/>
          <w:lang w:val="ru-RU"/>
        </w:rPr>
        <w:t>Порядок и основания перевода в другие образовательные учреждения</w:t>
      </w:r>
    </w:p>
    <w:p w:rsidR="0069391F" w:rsidRPr="000744CF" w:rsidRDefault="00522900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4.1.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Студенты </w:t>
      </w:r>
      <w:r w:rsidR="004B052B" w:rsidRPr="000744CF"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могут быть переведены </w:t>
      </w:r>
      <w:r w:rsidR="004B052B" w:rsidRPr="000744C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другие образовательные учреждения для получения среднего образования в общеобразовательном учреждении; для получения профессионального образования в другой профессиональной образовательной организации.</w:t>
      </w:r>
    </w:p>
    <w:p w:rsidR="0069391F" w:rsidRPr="000744CF" w:rsidRDefault="00522900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4.2.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Перевод обучающегося в другое образовательное учреждение осуществляется только при наличии вакантных мест, имеющихся в принимающей организации для перевода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из одной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организации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в другую организацию, по письменному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заявлению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студента, а если студент — несовершеннолетний, то с письменного согласия его родителей (законных представителей).</w:t>
      </w:r>
    </w:p>
    <w:p w:rsidR="0069391F" w:rsidRPr="000744CF" w:rsidRDefault="00522900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4.3.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Перевод студентов в другое учреждение образования может осуществляться в течение всего учебного года при наличии письменно подтвержденного согласия руководителя другой образовательной организации на прием. Перевод </w:t>
      </w:r>
      <w:proofErr w:type="gramStart"/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допускается с любой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формы обучения на любую форму обучения</w:t>
      </w:r>
    </w:p>
    <w:p w:rsidR="0069391F" w:rsidRPr="000744CF" w:rsidRDefault="00522900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4.4.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По письменному заявлению обучающегося, желающего быть переведенным в другую организацию, </w:t>
      </w:r>
      <w:r w:rsidR="004949CC" w:rsidRPr="000744CF">
        <w:rPr>
          <w:rFonts w:ascii="Times New Roman" w:hAnsi="Times New Roman" w:cs="Times New Roman"/>
          <w:sz w:val="28"/>
          <w:szCs w:val="28"/>
          <w:lang w:val="ru-RU"/>
        </w:rPr>
        <w:t>Техникум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трех рабочих дней со дня поступления заявления выдает обучающемуся справку об обучении или о периоде обучения.</w:t>
      </w:r>
    </w:p>
    <w:p w:rsidR="0069391F" w:rsidRPr="000744CF" w:rsidRDefault="00522900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4.5.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Обучающийся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подает в принимающую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организацию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о переводе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приложением справки о периоде обучения и иных документов, подтверждающих его образовательные достижения. </w:t>
      </w:r>
      <w:proofErr w:type="gramStart"/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При переводе на обучение за счет средств бюджета в заявлении о переводе</w:t>
      </w:r>
      <w:proofErr w:type="gramEnd"/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фиксируется с заверением личной подписью поступающего факт получения образования за счет бюджета впервые.</w:t>
      </w:r>
    </w:p>
    <w:p w:rsidR="0069391F" w:rsidRPr="000744CF" w:rsidRDefault="00522900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4.6. </w:t>
      </w:r>
      <w:proofErr w:type="gramStart"/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На основании заявления о переводе принимающая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организация не позднее 14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календарных дней со дня подачи заявления о переводе оценивает полученные документы на предмет определения перечней изученных учебных дисциплин, пройденных практик, которые в случае перевода обучающегося будут </w:t>
      </w:r>
      <w:proofErr w:type="spellStart"/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перезачтены</w:t>
      </w:r>
      <w:proofErr w:type="spellEnd"/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в порядке, установленном принимающей организацией, и определяет период, с которого обучающийся в случае перевода будет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допущен к обучению.</w:t>
      </w:r>
      <w:proofErr w:type="gramEnd"/>
    </w:p>
    <w:p w:rsidR="0069391F" w:rsidRPr="000744CF" w:rsidRDefault="00522900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4.7.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При принятии принимающей организацией решения о зачислении обучающемуся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течение 5 календарных дней со дня принятия решения о зачислении выдается </w:t>
      </w:r>
      <w:proofErr w:type="gramStart"/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справка</w:t>
      </w:r>
      <w:proofErr w:type="gramEnd"/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о переводе, в которой указываются уровень среднего профессионального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ab/>
        <w:t>образования, код и наименование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профессии,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специальности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направления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подготовки,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которое обучающийся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будет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lastRenderedPageBreak/>
        <w:t>переведен.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Справка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переводе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подписывается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руководителем принимающей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и заверяется 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ечатью принимающей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организации. К справке прилагается перечень изученных учебных дисциплин, пройденных практик, которые будут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перезачтены</w:t>
      </w:r>
      <w:proofErr w:type="spellEnd"/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обучающемуся</w:t>
      </w:r>
      <w:proofErr w:type="gramEnd"/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при переводе.</w:t>
      </w:r>
    </w:p>
    <w:p w:rsidR="0069391F" w:rsidRPr="000744CF" w:rsidRDefault="00522900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4.8. </w:t>
      </w:r>
      <w:proofErr w:type="gramStart"/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Обучающийся представляет в </w:t>
      </w:r>
      <w:r w:rsidR="004949CC" w:rsidRPr="000744CF">
        <w:rPr>
          <w:rFonts w:ascii="Times New Roman" w:hAnsi="Times New Roman" w:cs="Times New Roman"/>
          <w:sz w:val="28"/>
          <w:szCs w:val="28"/>
          <w:lang w:val="ru-RU"/>
        </w:rPr>
        <w:t>Техникум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письменное заявление об отчислении в порядке перевода в принимающую организацию с приложением справки о переводе.</w:t>
      </w:r>
      <w:proofErr w:type="gramEnd"/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49CC" w:rsidRPr="000744CF">
        <w:rPr>
          <w:rFonts w:ascii="Times New Roman" w:hAnsi="Times New Roman" w:cs="Times New Roman"/>
          <w:sz w:val="28"/>
          <w:szCs w:val="28"/>
          <w:lang w:val="ru-RU"/>
        </w:rPr>
        <w:t>Техникум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3 рабочих дней со дня поступления заявления об отчислении издает </w:t>
      </w:r>
      <w:proofErr w:type="gramStart"/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приказ</w:t>
      </w:r>
      <w:proofErr w:type="gramEnd"/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об отчислении </w:t>
      </w:r>
      <w:r w:rsidR="004949CC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студента в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связи с переводом в другую организацию.</w:t>
      </w:r>
    </w:p>
    <w:p w:rsidR="0069391F" w:rsidRPr="000744CF" w:rsidRDefault="00522900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4.9. </w:t>
      </w:r>
      <w:proofErr w:type="gramStart"/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Лицу, отчисленному в связи с переводом в другую организацию, в течение 3 рабочих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дней со дня издания приказа об отчислении в связи с переводом выдаются заверенная выписка из приказа об отчислении в связи с переводом, оригинал документа об образовании или об образовании и о квалификации, на основании которого указанное лицо было зачислено в </w:t>
      </w:r>
      <w:r w:rsidR="004949CC" w:rsidRPr="000744CF">
        <w:rPr>
          <w:rFonts w:ascii="Times New Roman" w:hAnsi="Times New Roman" w:cs="Times New Roman"/>
          <w:sz w:val="28"/>
          <w:szCs w:val="28"/>
          <w:lang w:val="ru-RU"/>
        </w:rPr>
        <w:t>Техникум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Студент сдает при этом в отдел кадров </w:t>
      </w:r>
      <w:r w:rsidR="004949CC" w:rsidRPr="000744CF"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студенческий билет и зачетную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книжку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2900" w:rsidRPr="000744CF" w:rsidRDefault="00522900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4.10.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Перевод студента в </w:t>
      </w:r>
      <w:proofErr w:type="gramStart"/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другую</w:t>
      </w:r>
      <w:proofErr w:type="gramEnd"/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образовательную образования оформляется приказом директора </w:t>
      </w:r>
      <w:r w:rsidR="004949CC" w:rsidRPr="000744CF"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с формулировкой: «Отчислить в связи с переводом в другое учебное заведение», при этом указывается конкретная образовательная организация, где студент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продолжит обучение.</w:t>
      </w:r>
    </w:p>
    <w:p w:rsidR="00522900" w:rsidRPr="000744CF" w:rsidRDefault="00522900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391F" w:rsidRPr="000744CF" w:rsidRDefault="00522900" w:rsidP="00F43B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r w:rsidR="00063EC7" w:rsidRPr="000744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Отчисление </w:t>
      </w:r>
      <w:proofErr w:type="gramStart"/>
      <w:r w:rsidR="00063EC7" w:rsidRPr="000744CF">
        <w:rPr>
          <w:rFonts w:ascii="Times New Roman" w:hAnsi="Times New Roman" w:cs="Times New Roman"/>
          <w:b/>
          <w:sz w:val="28"/>
          <w:szCs w:val="28"/>
          <w:lang w:val="ru-RU"/>
        </w:rPr>
        <w:t>обучающихся</w:t>
      </w:r>
      <w:proofErr w:type="gramEnd"/>
      <w:r w:rsidR="00063EC7" w:rsidRPr="000744CF">
        <w:rPr>
          <w:rFonts w:ascii="Times New Roman" w:hAnsi="Times New Roman" w:cs="Times New Roman"/>
          <w:b/>
          <w:sz w:val="28"/>
          <w:szCs w:val="28"/>
          <w:lang w:val="ru-RU"/>
        </w:rPr>
        <w:t>, порядок оформления отчисления</w:t>
      </w:r>
    </w:p>
    <w:p w:rsidR="0069391F" w:rsidRPr="000744CF" w:rsidRDefault="00522900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5.1.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Основаниями отчисления обучающегося из </w:t>
      </w:r>
      <w:r w:rsidR="004949CC" w:rsidRPr="000744CF"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является:</w:t>
      </w:r>
    </w:p>
    <w:p w:rsidR="0069391F" w:rsidRPr="000744CF" w:rsidRDefault="00D34805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завершение обучения в связи с полным освоением основной профессиональной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образовательной программы </w:t>
      </w:r>
      <w:r w:rsidR="004949CC" w:rsidRPr="000744C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прохождение государственной (итоговой) аттестации;</w:t>
      </w:r>
    </w:p>
    <w:p w:rsidR="0069391F" w:rsidRPr="000744CF" w:rsidRDefault="00D34805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досрочно в следующих случаях:</w:t>
      </w:r>
    </w:p>
    <w:p w:rsidR="0069391F" w:rsidRPr="000744CF" w:rsidRDefault="00063EC7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>а) по</w:t>
      </w:r>
      <w:r w:rsidR="00D34805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>инициативе</w:t>
      </w:r>
      <w:r w:rsidR="00D34805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r w:rsidR="00D34805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D34805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>родителей</w:t>
      </w:r>
      <w:r w:rsidR="00D34805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>(законных</w:t>
      </w:r>
      <w:r w:rsidR="00D34805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>представителей) несовершеннолетнего обучающегося;</w:t>
      </w:r>
    </w:p>
    <w:p w:rsidR="0069391F" w:rsidRPr="000744CF" w:rsidRDefault="00063EC7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б) по инициативе </w:t>
      </w:r>
      <w:r w:rsidR="004949CC" w:rsidRPr="000744CF"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9391F" w:rsidRPr="000744CF" w:rsidRDefault="00063EC7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в) по обстоятельствам, не зависящим от воли обучающегося или родителей (законных представителей) несовершеннолетнего обучающегося, в том числе в случае ликвидации </w:t>
      </w:r>
      <w:r w:rsidR="004949CC" w:rsidRPr="000744CF"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>, перемены места жительства, смерти обучающегося.</w:t>
      </w:r>
    </w:p>
    <w:p w:rsidR="0069391F" w:rsidRPr="000744CF" w:rsidRDefault="00D34805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5.2.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Отчисление по инициативе обучающегося оформляется по письменному заявлению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приказом по </w:t>
      </w:r>
      <w:r w:rsidR="004949CC" w:rsidRPr="000744CF">
        <w:rPr>
          <w:rFonts w:ascii="Times New Roman" w:hAnsi="Times New Roman" w:cs="Times New Roman"/>
          <w:sz w:val="28"/>
          <w:szCs w:val="28"/>
          <w:lang w:val="ru-RU"/>
        </w:rPr>
        <w:t>Техникуму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с формулировкой — по собственному желанию или в связи с переводом для продолжения освоения образовательной программы в другую образовательную организацию. Отчисление несовершеннолетнего обучающегося производится по заявлению как самого обучающегося, так и его родителей (законных представителей).</w:t>
      </w:r>
    </w:p>
    <w:p w:rsidR="0069391F" w:rsidRPr="000744CF" w:rsidRDefault="00D34805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5.3.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Отчисление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инициативе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49CC" w:rsidRPr="000744CF"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применения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обучающемуся отчисления как меры дисциплинарного взыскания, в случае невыполнения им обязанностей по добросовестному освоению профессиональной образовательной программы и выполнению учебного плана. </w:t>
      </w:r>
      <w:proofErr w:type="gramStart"/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В этом случае необходимо решение педагогического совета </w:t>
      </w:r>
      <w:r w:rsidR="004949CC" w:rsidRPr="000744CF"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,  или Совета по профилактике правонарушений, если иные меры дисциплинарного взыскания и меры педагогического воздействия не дали результата и дальнейшее пребывание обучающегося в </w:t>
      </w:r>
      <w:r w:rsidR="004949CC" w:rsidRPr="000744CF">
        <w:rPr>
          <w:rFonts w:ascii="Times New Roman" w:hAnsi="Times New Roman" w:cs="Times New Roman"/>
          <w:sz w:val="28"/>
          <w:szCs w:val="28"/>
          <w:lang w:val="ru-RU"/>
        </w:rPr>
        <w:t>Техникуме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оказывает отрицательное влияние на других обучающихся, нарушает их права и права педагогов и сотрудников, а также нормальное функционирование процессов </w:t>
      </w:r>
      <w:r w:rsidR="004949CC" w:rsidRPr="000744CF"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Отчисление как мера дисциплинарного взыскания применяется строго в соответствии с действующим Положением о наложении дисциплинарных взысканий на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студентов </w:t>
      </w:r>
      <w:proofErr w:type="spellStart"/>
      <w:r w:rsidR="004949CC" w:rsidRPr="000744CF">
        <w:rPr>
          <w:rFonts w:ascii="Times New Roman" w:hAnsi="Times New Roman" w:cs="Times New Roman"/>
          <w:sz w:val="28"/>
          <w:szCs w:val="28"/>
          <w:lang w:val="ru-RU"/>
        </w:rPr>
        <w:t>Серовского</w:t>
      </w:r>
      <w:proofErr w:type="spellEnd"/>
      <w:r w:rsidR="004949CC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металлургического техникума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391F" w:rsidRPr="000744CF" w:rsidRDefault="00063EC7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Отчисление по инициативе </w:t>
      </w:r>
      <w:r w:rsidR="004949CC" w:rsidRPr="000744CF"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возможно также в случае установления нарушения порядка приема в </w:t>
      </w:r>
      <w:r w:rsidR="004949CC" w:rsidRPr="000744CF">
        <w:rPr>
          <w:rFonts w:ascii="Times New Roman" w:hAnsi="Times New Roman" w:cs="Times New Roman"/>
          <w:sz w:val="28"/>
          <w:szCs w:val="28"/>
          <w:lang w:val="ru-RU"/>
        </w:rPr>
        <w:t>Техникум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>, повлекшего по вине обучающегося его незаконное зачисление.</w:t>
      </w:r>
    </w:p>
    <w:p w:rsidR="0069391F" w:rsidRPr="000744CF" w:rsidRDefault="00063EC7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Отчисление по инициативе </w:t>
      </w:r>
      <w:r w:rsidR="004949CC" w:rsidRPr="000744CF"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возможно и в случае просрочки оплаты стоимости</w:t>
      </w:r>
    </w:p>
    <w:p w:rsidR="0069391F" w:rsidRPr="000744CF" w:rsidRDefault="00063EC7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платных образовательных услуг, а также в случае, если надлежащее 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lastRenderedPageBreak/>
        <w:t>исполнение обязательства по оказанию платных образовательных услуг стало невозможным вследствие действий (бездействия) обучающегося. Основания расторжения в одностороннем порядке договора об оказании платных образовательных услуг указываются в договоре.</w:t>
      </w:r>
    </w:p>
    <w:p w:rsidR="0069391F" w:rsidRPr="000744CF" w:rsidRDefault="00D34805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5.4.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Основанием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для прекращения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образовательных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отношений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приказ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директора </w:t>
      </w:r>
      <w:r w:rsidR="004949CC" w:rsidRPr="000744CF"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об отчислении обучающегося. Если студент обучается по договору с полным возмещением затрат на обучение за счет физических или юридических лиц,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то такой договор расторгается на основании приказа об отчислении обучающегося из </w:t>
      </w:r>
      <w:r w:rsidR="004949CC" w:rsidRPr="000744CF"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391F" w:rsidRPr="000744CF" w:rsidRDefault="00063EC7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 w:rsidR="00D34805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34805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>обязанности</w:t>
      </w:r>
      <w:r w:rsidR="00D34805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>обучающегося,</w:t>
      </w:r>
      <w:r w:rsidR="00D34805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>предусмотренные</w:t>
      </w:r>
      <w:r w:rsidR="00D34805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>законодательством</w:t>
      </w:r>
      <w:r w:rsidR="00D34805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D34805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>образовании</w:t>
      </w:r>
      <w:r w:rsidR="00D34805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>и локальными</w:t>
      </w:r>
      <w:r w:rsidR="00D34805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>нормативными</w:t>
      </w:r>
      <w:r w:rsidR="00D34805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актами </w:t>
      </w:r>
      <w:r w:rsidR="004949CC" w:rsidRPr="000744CF"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прекращаются</w:t>
      </w:r>
      <w:r w:rsidR="00D34805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744CF">
        <w:rPr>
          <w:rFonts w:ascii="Times New Roman" w:hAnsi="Times New Roman" w:cs="Times New Roman"/>
          <w:sz w:val="28"/>
          <w:szCs w:val="28"/>
          <w:lang w:val="ru-RU"/>
        </w:rPr>
        <w:t>с даты</w:t>
      </w:r>
      <w:proofErr w:type="gramEnd"/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его</w:t>
      </w:r>
      <w:r w:rsidR="00D34805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>отчисления.</w:t>
      </w:r>
    </w:p>
    <w:p w:rsidR="0069391F" w:rsidRPr="000744CF" w:rsidRDefault="00D34805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5.5.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При досрочном прекращении образовательных отношений </w:t>
      </w:r>
      <w:r w:rsidR="004949CC" w:rsidRPr="000744CF">
        <w:rPr>
          <w:rFonts w:ascii="Times New Roman" w:hAnsi="Times New Roman" w:cs="Times New Roman"/>
          <w:sz w:val="28"/>
          <w:szCs w:val="28"/>
          <w:lang w:val="ru-RU"/>
        </w:rPr>
        <w:t>Техникум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в трехдневный срок после издания </w:t>
      </w:r>
      <w:proofErr w:type="gramStart"/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приказа</w:t>
      </w:r>
      <w:proofErr w:type="gramEnd"/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об отчислении обучающегося выдает ему справку об обучении или о периоде обучения по образцу, самостоятельно устанавливаемому </w:t>
      </w:r>
      <w:r w:rsidR="00CA6BDD" w:rsidRPr="000744CF">
        <w:rPr>
          <w:rFonts w:ascii="Times New Roman" w:hAnsi="Times New Roman" w:cs="Times New Roman"/>
          <w:sz w:val="28"/>
          <w:szCs w:val="28"/>
          <w:lang w:val="ru-RU"/>
        </w:rPr>
        <w:t>Техникумом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34805" w:rsidRPr="000744CF" w:rsidRDefault="00D34805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5.6.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Решение об отчислении несовершеннолетних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детей-сирот, детей,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оставшихся без попечения родителей, принимается с согласия органа опеки и попечительства.</w:t>
      </w:r>
    </w:p>
    <w:p w:rsidR="0069391F" w:rsidRPr="000744CF" w:rsidRDefault="00D34805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Порядок восстановления </w:t>
      </w:r>
      <w:proofErr w:type="gramStart"/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</w:p>
    <w:p w:rsidR="0069391F" w:rsidRPr="000744CF" w:rsidRDefault="00D34805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>6.1.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Обучающиеся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имеют право на восстановление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для получения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BDD" w:rsidRPr="000744CF">
        <w:rPr>
          <w:rFonts w:ascii="Times New Roman" w:hAnsi="Times New Roman" w:cs="Times New Roman"/>
          <w:sz w:val="28"/>
          <w:szCs w:val="28"/>
          <w:lang w:val="ru-RU"/>
        </w:rPr>
        <w:t>Техникуме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391F" w:rsidRPr="000744CF" w:rsidRDefault="00D34805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6.2. </w:t>
      </w:r>
      <w:proofErr w:type="gramStart"/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Лицо, отчисленное из </w:t>
      </w:r>
      <w:r w:rsidR="00CA6BDD" w:rsidRPr="000744CF"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по собственной инициативе до завершения освоения основной профессиональной образовательной программы, имеет право на восстановление, а лицо, отчисленное по инициативе </w:t>
      </w:r>
      <w:r w:rsidR="00CA6BDD" w:rsidRPr="000744CF"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, может быть восстановлено для обучения в </w:t>
      </w:r>
      <w:r w:rsidR="00CA6BDD" w:rsidRPr="000744CF">
        <w:rPr>
          <w:rFonts w:ascii="Times New Roman" w:hAnsi="Times New Roman" w:cs="Times New Roman"/>
          <w:sz w:val="28"/>
          <w:szCs w:val="28"/>
          <w:lang w:val="ru-RU"/>
        </w:rPr>
        <w:t>Техникуме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пяти лет после отчисления при наличии свободных мест и с сохранением прежних условий обучения, но не ранее завершения учебного года (семестра), в котором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указанное лицо было отчислено</w:t>
      </w:r>
      <w:proofErr w:type="gramEnd"/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391F" w:rsidRPr="000744CF" w:rsidRDefault="00D34805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6.3.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Восстановление обучающихся для продолжения обучения может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производиться при условии установления соответствия предшествующей и ныне действующей образовательной программы, в том числе и с возможностью ликвидации разницы в данных программах.</w:t>
      </w:r>
    </w:p>
    <w:p w:rsidR="0069391F" w:rsidRPr="000744CF" w:rsidRDefault="00D34805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6.4.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При восстановлении </w:t>
      </w:r>
      <w:proofErr w:type="gramStart"/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proofErr w:type="gramEnd"/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составляется индивидуальный план ликвидации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академической задолженности, вызванной расхождениями </w:t>
      </w:r>
      <w:r w:rsidR="00CA6BDD" w:rsidRPr="000744C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учебных планах.</w:t>
      </w:r>
    </w:p>
    <w:p w:rsidR="0069391F" w:rsidRPr="000744CF" w:rsidRDefault="005570D0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6.5.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Оформляется восстановление в состав </w:t>
      </w:r>
      <w:proofErr w:type="gramStart"/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приказом директора </w:t>
      </w:r>
      <w:r w:rsidR="00CA6BDD" w:rsidRPr="000744CF"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с формулировкой: «Восстановить в состав студентов как ранее </w:t>
      </w:r>
      <w:proofErr w:type="gramStart"/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обучавшегося</w:t>
      </w:r>
      <w:proofErr w:type="gramEnd"/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» с указанием специальности.</w:t>
      </w:r>
    </w:p>
    <w:p w:rsidR="0069391F" w:rsidRPr="000744CF" w:rsidRDefault="005570D0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>6.6.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Прием лиц, отчисленных из других образовательных организаций, осуществляется в</w:t>
      </w: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соответствии с порядком приема в </w:t>
      </w:r>
      <w:r w:rsidR="00CA6BDD" w:rsidRPr="000744CF">
        <w:rPr>
          <w:rFonts w:ascii="Times New Roman" w:hAnsi="Times New Roman" w:cs="Times New Roman"/>
          <w:sz w:val="28"/>
          <w:szCs w:val="28"/>
          <w:lang w:val="ru-RU"/>
        </w:rPr>
        <w:t>Техникум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391F" w:rsidRPr="00F43B9B" w:rsidRDefault="005570D0" w:rsidP="00F43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6.7. 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За восстановление на обучение, перевод с одной образовательной программы и (или) формы обучения на другую и из одного образовательного учреждения среднего профессионального образования </w:t>
      </w:r>
      <w:r w:rsidR="00CA6BDD" w:rsidRPr="000744C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63EC7" w:rsidRPr="000744CF">
        <w:rPr>
          <w:rFonts w:ascii="Times New Roman" w:hAnsi="Times New Roman" w:cs="Times New Roman"/>
          <w:sz w:val="28"/>
          <w:szCs w:val="28"/>
          <w:lang w:val="ru-RU"/>
        </w:rPr>
        <w:t xml:space="preserve"> другое плата не взимается.</w:t>
      </w:r>
    </w:p>
    <w:p w:rsidR="00653BA2" w:rsidRDefault="00653BA2" w:rsidP="00653B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6"/>
        <w:tblW w:w="9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619"/>
        <w:gridCol w:w="3686"/>
      </w:tblGrid>
      <w:tr w:rsidR="00F43B9B" w:rsidTr="0018352A">
        <w:trPr>
          <w:trHeight w:val="281"/>
        </w:trPr>
        <w:tc>
          <w:tcPr>
            <w:tcW w:w="3652" w:type="dxa"/>
          </w:tcPr>
          <w:p w:rsidR="00F43B9B" w:rsidRDefault="00F43B9B" w:rsidP="001835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СОГЛАСОВАНО</w:t>
            </w:r>
          </w:p>
          <w:p w:rsidR="00F43B9B" w:rsidRDefault="00F43B9B" w:rsidP="001835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619" w:type="dxa"/>
          </w:tcPr>
          <w:p w:rsidR="00F43B9B" w:rsidRDefault="00F43B9B" w:rsidP="0018352A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686" w:type="dxa"/>
            <w:hideMark/>
          </w:tcPr>
          <w:p w:rsidR="00F43B9B" w:rsidRDefault="00F43B9B" w:rsidP="001835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СОГЛАСОВАНО</w:t>
            </w:r>
          </w:p>
        </w:tc>
      </w:tr>
      <w:tr w:rsidR="00F43B9B" w:rsidTr="0018352A">
        <w:tc>
          <w:tcPr>
            <w:tcW w:w="3652" w:type="dxa"/>
          </w:tcPr>
          <w:p w:rsidR="00F43B9B" w:rsidRDefault="00F43B9B" w:rsidP="001835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Заместитель директора по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УПР</w:t>
            </w:r>
            <w:proofErr w:type="gramEnd"/>
          </w:p>
          <w:p w:rsidR="00F43B9B" w:rsidRDefault="00F43B9B" w:rsidP="001835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____________О.Н.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Кель</w:t>
            </w:r>
            <w:proofErr w:type="spellEnd"/>
          </w:p>
          <w:p w:rsidR="00F43B9B" w:rsidRDefault="00F43B9B" w:rsidP="0018352A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619" w:type="dxa"/>
          </w:tcPr>
          <w:p w:rsidR="00F43B9B" w:rsidRDefault="00F43B9B" w:rsidP="0018352A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686" w:type="dxa"/>
          </w:tcPr>
          <w:p w:rsidR="00F43B9B" w:rsidRDefault="00F43B9B" w:rsidP="001835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Юрисконсульт</w:t>
            </w:r>
          </w:p>
          <w:p w:rsidR="00F43B9B" w:rsidRDefault="00F43B9B" w:rsidP="001835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____________А.Л. Вахрушев</w:t>
            </w:r>
          </w:p>
          <w:p w:rsidR="00F43B9B" w:rsidRDefault="00F43B9B" w:rsidP="001835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  <w:p w:rsidR="00F43B9B" w:rsidRDefault="00F43B9B" w:rsidP="0018352A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F43B9B" w:rsidTr="0018352A">
        <w:tc>
          <w:tcPr>
            <w:tcW w:w="3652" w:type="dxa"/>
          </w:tcPr>
          <w:p w:rsidR="00F43B9B" w:rsidRDefault="00F43B9B" w:rsidP="001835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Заместитель директора по ВР</w:t>
            </w:r>
          </w:p>
          <w:p w:rsidR="00F43B9B" w:rsidRDefault="00F43B9B" w:rsidP="001835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____________Л.А. Леонова</w:t>
            </w:r>
          </w:p>
          <w:p w:rsidR="00F43B9B" w:rsidRDefault="00F43B9B" w:rsidP="001835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619" w:type="dxa"/>
          </w:tcPr>
          <w:p w:rsidR="00F43B9B" w:rsidRDefault="00F43B9B" w:rsidP="0018352A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686" w:type="dxa"/>
            <w:hideMark/>
          </w:tcPr>
          <w:p w:rsidR="00F43B9B" w:rsidRDefault="00F43B9B" w:rsidP="0018352A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</w:rPr>
              <w:t>Студенческий Совет</w:t>
            </w:r>
          </w:p>
          <w:p w:rsidR="00F43B9B" w:rsidRDefault="00F43B9B" w:rsidP="0018352A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</w:rPr>
              <w:t>__________</w:t>
            </w:r>
          </w:p>
        </w:tc>
      </w:tr>
    </w:tbl>
    <w:p w:rsidR="00653BA2" w:rsidRPr="00653BA2" w:rsidRDefault="00653BA2" w:rsidP="00653B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53BA2" w:rsidRPr="00653BA2" w:rsidSect="00653BA2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901"/>
    <w:multiLevelType w:val="hybridMultilevel"/>
    <w:tmpl w:val="51989B04"/>
    <w:lvl w:ilvl="0" w:tplc="90E4007C">
      <w:start w:val="4"/>
      <w:numFmt w:val="decimal"/>
      <w:lvlText w:val="%1."/>
      <w:lvlJc w:val="left"/>
      <w:pPr>
        <w:ind w:left="2494" w:hanging="231"/>
      </w:pPr>
      <w:rPr>
        <w:rFonts w:hint="default"/>
        <w:w w:val="60"/>
        <w:position w:val="-1"/>
      </w:rPr>
    </w:lvl>
    <w:lvl w:ilvl="1" w:tplc="D5409D9A">
      <w:numFmt w:val="none"/>
      <w:lvlText w:val=""/>
      <w:lvlJc w:val="left"/>
      <w:pPr>
        <w:tabs>
          <w:tab w:val="num" w:pos="360"/>
        </w:tabs>
      </w:pPr>
    </w:lvl>
    <w:lvl w:ilvl="2" w:tplc="BE4E6F74">
      <w:numFmt w:val="bullet"/>
      <w:lvlText w:val="•"/>
      <w:lvlJc w:val="left"/>
      <w:pPr>
        <w:ind w:left="1760" w:hanging="624"/>
      </w:pPr>
      <w:rPr>
        <w:rFonts w:hint="default"/>
      </w:rPr>
    </w:lvl>
    <w:lvl w:ilvl="3" w:tplc="4948CCAA">
      <w:numFmt w:val="bullet"/>
      <w:lvlText w:val="•"/>
      <w:lvlJc w:val="left"/>
      <w:pPr>
        <w:ind w:left="2500" w:hanging="624"/>
      </w:pPr>
      <w:rPr>
        <w:rFonts w:hint="default"/>
      </w:rPr>
    </w:lvl>
    <w:lvl w:ilvl="4" w:tplc="4E56CBD2">
      <w:numFmt w:val="bullet"/>
      <w:lvlText w:val="•"/>
      <w:lvlJc w:val="left"/>
      <w:pPr>
        <w:ind w:left="3843" w:hanging="624"/>
      </w:pPr>
      <w:rPr>
        <w:rFonts w:hint="default"/>
      </w:rPr>
    </w:lvl>
    <w:lvl w:ilvl="5" w:tplc="B518F11C">
      <w:numFmt w:val="bullet"/>
      <w:lvlText w:val="•"/>
      <w:lvlJc w:val="left"/>
      <w:pPr>
        <w:ind w:left="5186" w:hanging="624"/>
      </w:pPr>
      <w:rPr>
        <w:rFonts w:hint="default"/>
      </w:rPr>
    </w:lvl>
    <w:lvl w:ilvl="6" w:tplc="5456FF82">
      <w:numFmt w:val="bullet"/>
      <w:lvlText w:val="•"/>
      <w:lvlJc w:val="left"/>
      <w:pPr>
        <w:ind w:left="6530" w:hanging="624"/>
      </w:pPr>
      <w:rPr>
        <w:rFonts w:hint="default"/>
      </w:rPr>
    </w:lvl>
    <w:lvl w:ilvl="7" w:tplc="B3BE2FBC">
      <w:numFmt w:val="bullet"/>
      <w:lvlText w:val="•"/>
      <w:lvlJc w:val="left"/>
      <w:pPr>
        <w:ind w:left="7873" w:hanging="624"/>
      </w:pPr>
      <w:rPr>
        <w:rFonts w:hint="default"/>
      </w:rPr>
    </w:lvl>
    <w:lvl w:ilvl="8" w:tplc="CF40867C">
      <w:numFmt w:val="bullet"/>
      <w:lvlText w:val="•"/>
      <w:lvlJc w:val="left"/>
      <w:pPr>
        <w:ind w:left="9217" w:hanging="624"/>
      </w:pPr>
      <w:rPr>
        <w:rFonts w:hint="default"/>
      </w:rPr>
    </w:lvl>
  </w:abstractNum>
  <w:abstractNum w:abstractNumId="1">
    <w:nsid w:val="43332EB7"/>
    <w:multiLevelType w:val="hybridMultilevel"/>
    <w:tmpl w:val="0A6885BC"/>
    <w:lvl w:ilvl="0" w:tplc="EE8E7596">
      <w:start w:val="1"/>
      <w:numFmt w:val="decimal"/>
      <w:lvlText w:val="%1)"/>
      <w:lvlJc w:val="left"/>
      <w:pPr>
        <w:ind w:left="2604" w:hanging="312"/>
      </w:pPr>
      <w:rPr>
        <w:rFonts w:ascii="Courier New" w:eastAsia="Courier New" w:hAnsi="Courier New" w:cs="Courier New" w:hint="default"/>
        <w:w w:val="58"/>
        <w:position w:val="-4"/>
        <w:sz w:val="22"/>
        <w:szCs w:val="22"/>
      </w:rPr>
    </w:lvl>
    <w:lvl w:ilvl="1" w:tplc="A124934E">
      <w:numFmt w:val="bullet"/>
      <w:lvlText w:val="•"/>
      <w:lvlJc w:val="left"/>
      <w:pPr>
        <w:ind w:left="3530" w:hanging="312"/>
      </w:pPr>
      <w:rPr>
        <w:rFonts w:hint="default"/>
      </w:rPr>
    </w:lvl>
    <w:lvl w:ilvl="2" w:tplc="7A14D7B6">
      <w:numFmt w:val="bullet"/>
      <w:lvlText w:val="•"/>
      <w:lvlJc w:val="left"/>
      <w:pPr>
        <w:ind w:left="4460" w:hanging="312"/>
      </w:pPr>
      <w:rPr>
        <w:rFonts w:hint="default"/>
      </w:rPr>
    </w:lvl>
    <w:lvl w:ilvl="3" w:tplc="1B0855AE">
      <w:numFmt w:val="bullet"/>
      <w:lvlText w:val="•"/>
      <w:lvlJc w:val="left"/>
      <w:pPr>
        <w:ind w:left="5391" w:hanging="312"/>
      </w:pPr>
      <w:rPr>
        <w:rFonts w:hint="default"/>
      </w:rPr>
    </w:lvl>
    <w:lvl w:ilvl="4" w:tplc="736450C8">
      <w:numFmt w:val="bullet"/>
      <w:lvlText w:val="•"/>
      <w:lvlJc w:val="left"/>
      <w:pPr>
        <w:ind w:left="6321" w:hanging="312"/>
      </w:pPr>
      <w:rPr>
        <w:rFonts w:hint="default"/>
      </w:rPr>
    </w:lvl>
    <w:lvl w:ilvl="5" w:tplc="7D188CBC">
      <w:numFmt w:val="bullet"/>
      <w:lvlText w:val="•"/>
      <w:lvlJc w:val="left"/>
      <w:pPr>
        <w:ind w:left="7252" w:hanging="312"/>
      </w:pPr>
      <w:rPr>
        <w:rFonts w:hint="default"/>
      </w:rPr>
    </w:lvl>
    <w:lvl w:ilvl="6" w:tplc="80722E04">
      <w:numFmt w:val="bullet"/>
      <w:lvlText w:val="•"/>
      <w:lvlJc w:val="left"/>
      <w:pPr>
        <w:ind w:left="8182" w:hanging="312"/>
      </w:pPr>
      <w:rPr>
        <w:rFonts w:hint="default"/>
      </w:rPr>
    </w:lvl>
    <w:lvl w:ilvl="7" w:tplc="A8A8C90C">
      <w:numFmt w:val="bullet"/>
      <w:lvlText w:val="•"/>
      <w:lvlJc w:val="left"/>
      <w:pPr>
        <w:ind w:left="9112" w:hanging="312"/>
      </w:pPr>
      <w:rPr>
        <w:rFonts w:hint="default"/>
      </w:rPr>
    </w:lvl>
    <w:lvl w:ilvl="8" w:tplc="52808D58">
      <w:numFmt w:val="bullet"/>
      <w:lvlText w:val="•"/>
      <w:lvlJc w:val="left"/>
      <w:pPr>
        <w:ind w:left="10043" w:hanging="312"/>
      </w:pPr>
      <w:rPr>
        <w:rFonts w:hint="default"/>
      </w:rPr>
    </w:lvl>
  </w:abstractNum>
  <w:abstractNum w:abstractNumId="2">
    <w:nsid w:val="64393186"/>
    <w:multiLevelType w:val="hybridMultilevel"/>
    <w:tmpl w:val="A336C252"/>
    <w:lvl w:ilvl="0" w:tplc="3A94D0BC">
      <w:start w:val="3"/>
      <w:numFmt w:val="decimal"/>
      <w:lvlText w:val="%1"/>
      <w:lvlJc w:val="left"/>
      <w:pPr>
        <w:ind w:left="1712" w:hanging="509"/>
      </w:pPr>
      <w:rPr>
        <w:rFonts w:hint="default"/>
      </w:rPr>
    </w:lvl>
    <w:lvl w:ilvl="1" w:tplc="61D24F7C">
      <w:numFmt w:val="none"/>
      <w:lvlText w:val=""/>
      <w:lvlJc w:val="left"/>
      <w:pPr>
        <w:tabs>
          <w:tab w:val="num" w:pos="360"/>
        </w:tabs>
      </w:pPr>
    </w:lvl>
    <w:lvl w:ilvl="2" w:tplc="D1D696E6">
      <w:numFmt w:val="bullet"/>
      <w:lvlText w:val="•"/>
      <w:lvlJc w:val="left"/>
      <w:pPr>
        <w:ind w:left="3756" w:hanging="509"/>
      </w:pPr>
      <w:rPr>
        <w:rFonts w:hint="default"/>
      </w:rPr>
    </w:lvl>
    <w:lvl w:ilvl="3" w:tplc="856C1FEA">
      <w:numFmt w:val="bullet"/>
      <w:lvlText w:val="•"/>
      <w:lvlJc w:val="left"/>
      <w:pPr>
        <w:ind w:left="4775" w:hanging="509"/>
      </w:pPr>
      <w:rPr>
        <w:rFonts w:hint="default"/>
      </w:rPr>
    </w:lvl>
    <w:lvl w:ilvl="4" w:tplc="D130C0F2">
      <w:numFmt w:val="bullet"/>
      <w:lvlText w:val="•"/>
      <w:lvlJc w:val="left"/>
      <w:pPr>
        <w:ind w:left="5793" w:hanging="509"/>
      </w:pPr>
      <w:rPr>
        <w:rFonts w:hint="default"/>
      </w:rPr>
    </w:lvl>
    <w:lvl w:ilvl="5" w:tplc="959862BA">
      <w:numFmt w:val="bullet"/>
      <w:lvlText w:val="•"/>
      <w:lvlJc w:val="left"/>
      <w:pPr>
        <w:ind w:left="6812" w:hanging="509"/>
      </w:pPr>
      <w:rPr>
        <w:rFonts w:hint="default"/>
      </w:rPr>
    </w:lvl>
    <w:lvl w:ilvl="6" w:tplc="EF7C06A8">
      <w:numFmt w:val="bullet"/>
      <w:lvlText w:val="•"/>
      <w:lvlJc w:val="left"/>
      <w:pPr>
        <w:ind w:left="7830" w:hanging="509"/>
      </w:pPr>
      <w:rPr>
        <w:rFonts w:hint="default"/>
      </w:rPr>
    </w:lvl>
    <w:lvl w:ilvl="7" w:tplc="DA8E01F0">
      <w:numFmt w:val="bullet"/>
      <w:lvlText w:val="•"/>
      <w:lvlJc w:val="left"/>
      <w:pPr>
        <w:ind w:left="8848" w:hanging="509"/>
      </w:pPr>
      <w:rPr>
        <w:rFonts w:hint="default"/>
      </w:rPr>
    </w:lvl>
    <w:lvl w:ilvl="8" w:tplc="929E42CE">
      <w:numFmt w:val="bullet"/>
      <w:lvlText w:val="•"/>
      <w:lvlJc w:val="left"/>
      <w:pPr>
        <w:ind w:left="9867" w:hanging="509"/>
      </w:pPr>
      <w:rPr>
        <w:rFonts w:hint="default"/>
      </w:rPr>
    </w:lvl>
  </w:abstractNum>
  <w:abstractNum w:abstractNumId="3">
    <w:nsid w:val="7D447D8A"/>
    <w:multiLevelType w:val="hybridMultilevel"/>
    <w:tmpl w:val="24A4E94C"/>
    <w:lvl w:ilvl="0" w:tplc="BE2AF5E0">
      <w:start w:val="1"/>
      <w:numFmt w:val="decimal"/>
      <w:lvlText w:val="%1."/>
      <w:lvlJc w:val="left"/>
      <w:pPr>
        <w:ind w:left="2553" w:hanging="240"/>
      </w:pPr>
      <w:rPr>
        <w:rFonts w:ascii="Courier New" w:eastAsia="Courier New" w:hAnsi="Courier New" w:cs="Courier New" w:hint="default"/>
        <w:w w:val="56"/>
        <w:sz w:val="20"/>
        <w:szCs w:val="20"/>
      </w:rPr>
    </w:lvl>
    <w:lvl w:ilvl="1" w:tplc="1DF23D5A">
      <w:numFmt w:val="none"/>
      <w:lvlText w:val=""/>
      <w:lvlJc w:val="left"/>
      <w:pPr>
        <w:tabs>
          <w:tab w:val="num" w:pos="360"/>
        </w:tabs>
      </w:pPr>
    </w:lvl>
    <w:lvl w:ilvl="2" w:tplc="0506FAF6">
      <w:numFmt w:val="bullet"/>
      <w:lvlText w:val="•"/>
      <w:lvlJc w:val="left"/>
      <w:pPr>
        <w:ind w:left="2560" w:hanging="432"/>
      </w:pPr>
      <w:rPr>
        <w:rFonts w:hint="default"/>
      </w:rPr>
    </w:lvl>
    <w:lvl w:ilvl="3" w:tplc="4D40DE2A">
      <w:numFmt w:val="bullet"/>
      <w:lvlText w:val="•"/>
      <w:lvlJc w:val="left"/>
      <w:pPr>
        <w:ind w:left="3728" w:hanging="432"/>
      </w:pPr>
      <w:rPr>
        <w:rFonts w:hint="default"/>
      </w:rPr>
    </w:lvl>
    <w:lvl w:ilvl="4" w:tplc="6DFA7AE4">
      <w:numFmt w:val="bullet"/>
      <w:lvlText w:val="•"/>
      <w:lvlJc w:val="left"/>
      <w:pPr>
        <w:ind w:left="4896" w:hanging="432"/>
      </w:pPr>
      <w:rPr>
        <w:rFonts w:hint="default"/>
      </w:rPr>
    </w:lvl>
    <w:lvl w:ilvl="5" w:tplc="14C29926">
      <w:numFmt w:val="bullet"/>
      <w:lvlText w:val="•"/>
      <w:lvlJc w:val="left"/>
      <w:pPr>
        <w:ind w:left="6064" w:hanging="432"/>
      </w:pPr>
      <w:rPr>
        <w:rFonts w:hint="default"/>
      </w:rPr>
    </w:lvl>
    <w:lvl w:ilvl="6" w:tplc="CCD0EC0A">
      <w:numFmt w:val="bullet"/>
      <w:lvlText w:val="•"/>
      <w:lvlJc w:val="left"/>
      <w:pPr>
        <w:ind w:left="7232" w:hanging="432"/>
      </w:pPr>
      <w:rPr>
        <w:rFonts w:hint="default"/>
      </w:rPr>
    </w:lvl>
    <w:lvl w:ilvl="7" w:tplc="C05897CE">
      <w:numFmt w:val="bullet"/>
      <w:lvlText w:val="•"/>
      <w:lvlJc w:val="left"/>
      <w:pPr>
        <w:ind w:left="8400" w:hanging="432"/>
      </w:pPr>
      <w:rPr>
        <w:rFonts w:hint="default"/>
      </w:rPr>
    </w:lvl>
    <w:lvl w:ilvl="8" w:tplc="4D260570">
      <w:numFmt w:val="bullet"/>
      <w:lvlText w:val="•"/>
      <w:lvlJc w:val="left"/>
      <w:pPr>
        <w:ind w:left="9568" w:hanging="43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9391F"/>
    <w:rsid w:val="00023B4B"/>
    <w:rsid w:val="00050C79"/>
    <w:rsid w:val="00063EC7"/>
    <w:rsid w:val="000744CF"/>
    <w:rsid w:val="003124D0"/>
    <w:rsid w:val="00330268"/>
    <w:rsid w:val="00465474"/>
    <w:rsid w:val="004949CC"/>
    <w:rsid w:val="004B052B"/>
    <w:rsid w:val="004C4DBB"/>
    <w:rsid w:val="004E5E6D"/>
    <w:rsid w:val="00522900"/>
    <w:rsid w:val="005570D0"/>
    <w:rsid w:val="005E625E"/>
    <w:rsid w:val="00653BA2"/>
    <w:rsid w:val="0069391F"/>
    <w:rsid w:val="006F66C5"/>
    <w:rsid w:val="00823E40"/>
    <w:rsid w:val="00924606"/>
    <w:rsid w:val="00964427"/>
    <w:rsid w:val="0099303E"/>
    <w:rsid w:val="00A346D8"/>
    <w:rsid w:val="00A34A45"/>
    <w:rsid w:val="00B77112"/>
    <w:rsid w:val="00C82E05"/>
    <w:rsid w:val="00CA6BDD"/>
    <w:rsid w:val="00CD1293"/>
    <w:rsid w:val="00D00764"/>
    <w:rsid w:val="00D34805"/>
    <w:rsid w:val="00F43B9B"/>
    <w:rsid w:val="00F6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391F"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39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391F"/>
  </w:style>
  <w:style w:type="paragraph" w:styleId="a4">
    <w:name w:val="List Paragraph"/>
    <w:basedOn w:val="a"/>
    <w:uiPriority w:val="1"/>
    <w:qFormat/>
    <w:rsid w:val="0069391F"/>
    <w:pPr>
      <w:ind w:left="1718" w:firstLine="561"/>
    </w:pPr>
  </w:style>
  <w:style w:type="paragraph" w:customStyle="1" w:styleId="TableParagraph">
    <w:name w:val="Table Paragraph"/>
    <w:basedOn w:val="a"/>
    <w:uiPriority w:val="1"/>
    <w:qFormat/>
    <w:rsid w:val="0069391F"/>
    <w:pPr>
      <w:spacing w:line="199" w:lineRule="exact"/>
    </w:pPr>
  </w:style>
  <w:style w:type="paragraph" w:styleId="a5">
    <w:name w:val="No Spacing"/>
    <w:uiPriority w:val="1"/>
    <w:qFormat/>
    <w:rsid w:val="003124D0"/>
    <w:pPr>
      <w:widowControl/>
      <w:autoSpaceDE/>
      <w:autoSpaceDN/>
    </w:pPr>
    <w:rPr>
      <w:lang w:val="ru-RU"/>
    </w:rPr>
  </w:style>
  <w:style w:type="table" w:styleId="a6">
    <w:name w:val="Table Grid"/>
    <w:basedOn w:val="a1"/>
    <w:uiPriority w:val="59"/>
    <w:rsid w:val="00F43B9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744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4CF"/>
    <w:rPr>
      <w:rFonts w:ascii="Tahoma" w:eastAsia="Courier New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7461A-5E7C-434F-BDE2-1DC2DFC6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2551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BorozdenkovaTV</cp:lastModifiedBy>
  <cp:revision>14</cp:revision>
  <cp:lastPrinted>2018-10-17T08:54:00Z</cp:lastPrinted>
  <dcterms:created xsi:type="dcterms:W3CDTF">2018-09-24T09:30:00Z</dcterms:created>
  <dcterms:modified xsi:type="dcterms:W3CDTF">2018-10-18T02:50:00Z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LastSaved">
    <vt:filetime>2018-09-24T00:00:00Z</vt:filetime>
  </property>
</Properties>
</file>